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1F77" w14:textId="02006031" w:rsidR="00124FF3" w:rsidRPr="00124FF3" w:rsidRDefault="00124FF3" w:rsidP="00A644F0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124FF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Płatność dla małych gospodarstw</w:t>
      </w:r>
      <w:r w:rsidR="00A644F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</w:t>
      </w:r>
      <w:r w:rsidRPr="00124FF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– sprawdź, czy to się opłaca. </w:t>
      </w:r>
    </w:p>
    <w:p w14:paraId="1F89E12B" w14:textId="2840516D" w:rsidR="00124FF3" w:rsidRPr="00A644F0" w:rsidRDefault="00124FF3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A644F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Do 31 sierpnia 2023 r. </w:t>
      </w:r>
      <w:r w:rsidRPr="00124FF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rolni</w:t>
      </w:r>
      <w:r w:rsidRPr="00A644F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cy</w:t>
      </w:r>
      <w:r w:rsidRPr="00124FF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, którzy posiadają gospodarstwa o powierzchni do 5 ha i złożyli wnioski o przyznanie płatności za 2023 rok</w:t>
      </w:r>
      <w:r w:rsidRPr="00A644F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, mogą ubiegać się o przyznanie płatności ryczałtowej. Stawka pomocy</w:t>
      </w:r>
      <w:r w:rsidRPr="00124FF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to 225 euro/ha</w:t>
      </w:r>
      <w:r w:rsidR="006C50D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(nie więcej niż 1125 euro na gospodarstwo).</w:t>
      </w:r>
    </w:p>
    <w:p w14:paraId="5B1345DE" w14:textId="77777777" w:rsidR="00D01FA6" w:rsidRPr="00124FF3" w:rsidRDefault="00D01FA6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23A20CD1" w14:textId="77777777" w:rsidR="00A644F0" w:rsidRPr="00A644F0" w:rsidRDefault="00124FF3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</w:pP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Trwa nabór wniosków </w:t>
      </w:r>
      <w:r w:rsidRPr="00A644F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o przyznanie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 płatności dla małych gospodarstw, która zastąpi wszystkie wnioskowane płatności bezpośrednie (podstawowe wsparcie dochodów, płatność redystrybucyjna, płatność dla młodych rolników, wszystkie płatności związane z produkcją oraz płatności w ramach </w:t>
      </w:r>
      <w:proofErr w:type="spellStart"/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ekoschematów</w:t>
      </w:r>
      <w:proofErr w:type="spellEnd"/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). </w:t>
      </w:r>
    </w:p>
    <w:p w14:paraId="15BE4945" w14:textId="77777777" w:rsidR="00A644F0" w:rsidRPr="00A644F0" w:rsidRDefault="00A644F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</w:pPr>
    </w:p>
    <w:p w14:paraId="078FEE17" w14:textId="16D56BF6" w:rsidR="00124FF3" w:rsidRDefault="00124FF3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</w:pP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Jeżeli </w:t>
      </w:r>
      <w:r w:rsidRPr="00A644F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ubiegający się o przyznanie </w:t>
      </w:r>
      <w:r w:rsidR="00D01FA6" w:rsidRPr="00A644F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ryczałtu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 we wniosku o przyznanie płatności za rok 2023 </w:t>
      </w:r>
      <w:r w:rsidRPr="00A644F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starał się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 także o przyznanie przejściowego wsparcia krajowego (uzupełniającą płatność podstawową lub płatność do tytoniu), płatności ONW, płatności ekologicznej, płatności rolno-środowiskowo-klimatycznej</w:t>
      </w:r>
      <w:r w:rsidR="00D01FA6" w:rsidRPr="00A644F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, 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wówczas </w:t>
      </w:r>
      <w:r w:rsidR="00D01FA6" w:rsidRPr="00A644F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– 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poza płatnością dla małych gospodarstw </w:t>
      </w:r>
      <w:r w:rsidR="00D01FA6" w:rsidRPr="00A644F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– 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otrzyma </w:t>
      </w:r>
      <w:r w:rsidR="00D01FA6" w:rsidRPr="00A644F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środki z tytułu 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tych płatności.</w:t>
      </w:r>
    </w:p>
    <w:p w14:paraId="149B723E" w14:textId="7AC6A78E" w:rsidR="00A23FA0" w:rsidRDefault="00A23FA0" w:rsidP="00A23FA0">
      <w:pPr>
        <w:shd w:val="clear" w:color="auto" w:fill="FFFFFF"/>
        <w:tabs>
          <w:tab w:val="left" w:pos="45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</w:pPr>
    </w:p>
    <w:p w14:paraId="1D8E79B8" w14:textId="18C93CB1" w:rsidR="00A23FA0" w:rsidRDefault="00673D97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noProof/>
          <w:color w:val="1B1B1B"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2A02DA" wp14:editId="69DCF06B">
                <wp:simplePos x="0" y="0"/>
                <wp:positionH relativeFrom="column">
                  <wp:posOffset>46355</wp:posOffset>
                </wp:positionH>
                <wp:positionV relativeFrom="paragraph">
                  <wp:posOffset>121285</wp:posOffset>
                </wp:positionV>
                <wp:extent cx="5778500" cy="2997200"/>
                <wp:effectExtent l="0" t="0" r="12700" b="12700"/>
                <wp:wrapNone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0" cy="2997200"/>
                          <a:chOff x="0" y="0"/>
                          <a:chExt cx="5778500" cy="2997200"/>
                        </a:xfrm>
                      </wpg:grpSpPr>
                      <wps:wsp>
                        <wps:cNvPr id="2" name="Prostokąt: zaokrąglone rogi po przekątnej 2"/>
                        <wps:cNvSpPr/>
                        <wps:spPr>
                          <a:xfrm>
                            <a:off x="0" y="0"/>
                            <a:ext cx="5778500" cy="501650"/>
                          </a:xfrm>
                          <a:prstGeom prst="round2DiagRect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B51B11" w14:textId="08D64D00" w:rsidR="00A23FA0" w:rsidRPr="00F45B10" w:rsidRDefault="00A23FA0" w:rsidP="00F45B10">
                              <w:pPr>
                                <w:pStyle w:val="Nagwek1"/>
                              </w:pPr>
                              <w:r w:rsidRPr="00F45B10">
                                <w:t>Składając wniosek o przyznanie Płatności dla małych gospodarstw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Prostokąt: zaokrąglone rogi po przekątnej 3"/>
                        <wps:cNvSpPr/>
                        <wps:spPr>
                          <a:xfrm>
                            <a:off x="0" y="628650"/>
                            <a:ext cx="2813050" cy="2368550"/>
                          </a:xfrm>
                          <a:prstGeom prst="round2Diag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463271D" w14:textId="0A2D2E8C" w:rsidR="00F45B10" w:rsidRPr="00F45B10" w:rsidRDefault="00B26A10" w:rsidP="00F45B1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  <w:u w:val="single"/>
                                </w:rPr>
                                <w:t>Ni</w:t>
                              </w:r>
                              <w:r w:rsidR="00A23FA0"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  <w:u w:val="single"/>
                                </w:rPr>
                                <w:t>e otrzymasz:</w:t>
                              </w:r>
                            </w:p>
                            <w:p w14:paraId="62854448" w14:textId="25278846" w:rsidR="00A23FA0" w:rsidRPr="00F45B1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- podstawowego wsparcia dochodów</w:t>
                              </w:r>
                            </w:p>
                            <w:p w14:paraId="529D6216" w14:textId="660C2466" w:rsidR="00A23FA0" w:rsidRPr="00F45B1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- płatności redystrybucyjnej</w:t>
                              </w:r>
                            </w:p>
                            <w:p w14:paraId="31FD7F24" w14:textId="41915030" w:rsidR="00A23FA0" w:rsidRPr="00F45B1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- płatności dla młodych rolników</w:t>
                              </w:r>
                            </w:p>
                            <w:p w14:paraId="784A1613" w14:textId="77777777" w:rsidR="00B26A1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- płatności związanych z produkcją</w:t>
                              </w:r>
                            </w:p>
                            <w:p w14:paraId="51D835F7" w14:textId="5605147D" w:rsidR="00A23FA0" w:rsidRPr="00F45B10" w:rsidRDefault="00B26A1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A23FA0"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(do upraw i zwierząt)</w:t>
                              </w:r>
                            </w:p>
                            <w:p w14:paraId="731C58CA" w14:textId="15B25CA5" w:rsidR="00A23FA0" w:rsidRPr="00F45B1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 xml:space="preserve">- płatności w ramach </w:t>
                              </w:r>
                              <w:proofErr w:type="spellStart"/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ekoschematów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rostokąt: zaokrąglone rogi po przekątnej 4"/>
                        <wps:cNvSpPr/>
                        <wps:spPr>
                          <a:xfrm>
                            <a:off x="2927350" y="615950"/>
                            <a:ext cx="2851150" cy="2381250"/>
                          </a:xfrm>
                          <a:prstGeom prst="round2Diag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E7B125A" w14:textId="21CC9B14" w:rsidR="00A23FA0" w:rsidRPr="00F45B10" w:rsidRDefault="00B26A10" w:rsidP="00F45B1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  <w:u w:val="single"/>
                                </w:rPr>
                                <w:t>O</w:t>
                              </w:r>
                              <w:r w:rsidR="00A23FA0"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  <w:u w:val="single"/>
                                </w:rPr>
                                <w:t>trzymasz:</w:t>
                              </w:r>
                            </w:p>
                            <w:p w14:paraId="56DFE837" w14:textId="22DEFF28" w:rsidR="00A23FA0" w:rsidRPr="00F45B1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- przejściowe wsparcie krajowe</w:t>
                              </w:r>
                            </w:p>
                            <w:p w14:paraId="5FEF5ED2" w14:textId="5C001DCC" w:rsidR="00A23FA0" w:rsidRPr="00F45B1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(uzupełniającą płatnoś</w:t>
                              </w:r>
                              <w:r w:rsidR="00B26A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 xml:space="preserve">ć </w:t>
                              </w: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podstawową i płatność niezwiązaną do tytoniu)</w:t>
                              </w:r>
                            </w:p>
                            <w:p w14:paraId="12C39C77" w14:textId="04B2E82E" w:rsidR="00A23FA0" w:rsidRPr="00F45B1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- płatności rolno-środowiskowo-klimatyczne</w:t>
                              </w:r>
                            </w:p>
                            <w:p w14:paraId="30946748" w14:textId="00704C64" w:rsidR="00A23FA0" w:rsidRPr="00F45B1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- płatności ONW</w:t>
                              </w:r>
                            </w:p>
                            <w:p w14:paraId="6F2F3A7E" w14:textId="29FF6D04" w:rsidR="00A23FA0" w:rsidRPr="00F45B1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- płatności ekologiczne</w:t>
                              </w:r>
                            </w:p>
                            <w:p w14:paraId="4705EA59" w14:textId="07D39D46" w:rsidR="00A23FA0" w:rsidRPr="00F45B1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F45B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t>- płatności zalesieniowe</w:t>
                              </w:r>
                            </w:p>
                            <w:p w14:paraId="0F088359" w14:textId="77777777" w:rsidR="00A23FA0" w:rsidRPr="00A23FA0" w:rsidRDefault="00A23FA0" w:rsidP="00A23FA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1F3864" w:themeColor="accent1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2A02DA" id="Grupa 7" o:spid="_x0000_s1026" style="position:absolute;left:0;text-align:left;margin-left:3.65pt;margin-top:9.55pt;width:455pt;height:236pt;z-index:251663360;mso-width-relative:margin;mso-height-relative:margin" coordsize="57785,29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zm3AMAAHYOAAAOAAAAZHJzL2Uyb0RvYy54bWzsV91u2zYYvR/QdyB039iS/4UoRZAswYCs&#10;DZoOvaYpStZCkRxJR3bu+2Z9sB1SsmKnHYp5ay+K+EKWRH4/PDznSDp9s6kFeeDGVkpmUXwyjAiX&#10;TOWVLLPojw9Xr+cRsY7KnAoleRZtuY3enL365bTRKU/USomcG4Ik0qaNzqKVczodDCxb8ZraE6W5&#10;xGChTE0dLk05yA1tkL0Wg2Q4nA4aZXJtFOPW4u5lOxidhfxFwZl7VxSWOyKyCL25cDThuPTHwdkp&#10;TUtD9apiXRv0iC5qWkkU7VNdUkfJ2lRfpKorZpRVhTthqh6ooqgYD2vAauLhs9VcG7XWYS1l2pS6&#10;hwnQPsPp6LTs7cO10Xf61gCJRpfAIlz5tWwKU/t/dEk2AbJtDxnfOMJwczKbzSdDIMswliwWM2xK&#10;CypbAfkv4tjq129EDnaFBwftNBoEsU8Y2P+Gwd2Kah6gtSkwuDWkyrGAiEhag6a32CSn7j9/cil5&#10;pOrefP5UegITo8qKaEW0eeR+WPI/SeIX7PtDoh5Jm1qAehSMk2E8nQQUeyxoqo1111zVqGzBYjBD&#10;5sllRcv34HigHn24sQ6dIGg32ZcX0h+tElV+VQkRLry6+IUw5IFCF5QxLl0ckoh1/bvK2/szbOyu&#10;jSBIHxLy72VDNV8Bm7VbcThzW8Hb6u95AWxBlSQU6BPt1556BEMmzPZhBTrtA9vOngUKNNwGdXN9&#10;GA+K7wOH367YR4SqSro+uK6kMl9LkN/3ldv5u9W3a/bLd5vlpuPEUuVbsMuo1nqsZlcVdvCGWndL&#10;DbwG2oF/unc4FEI1WaS6s4islHn82n0/H/THaEQaeFcW2b/W1PCIiN8khLGIx2NvduFiPIEmI2L2&#10;R5b7I3JdXyjQIIZTaxZO/XwndqeFUfVH2Oy5r4ohKhlqZxFzZndx4VpPhVEzfn4epsHgNHU38k4z&#10;n9wD7Hn5YfORGt3R2MFH3qqdGGn6jMPtXB8p1fnaqaIKBPcQt7h20MMYWgV+d4cYHeUQoyMcYprM&#10;OxcArzvPTObxaAhraN12NJ1P/j+f2NM07GJre3vA0zZXDbgFyuJmFl2FX6e+gzAhCQgcJ7PwRPDE&#10;LAR1aLfWOUgqS/BFlHhR8NTx23oQbU257KuOx7PkYhwm/aMntfODcxwk8jS7pHbVWkwY8t3StK4c&#10;3jZEVWfRHN7Wu1vrka0XdCZ66Gde0OEJEaT/xL8XXf8kuh4fpevxv9J1skhmI69evCpN48mi1e6+&#10;uidx/KTueZy8qNv8UHX3b3IvT+0f9dQOb/n4uAn73H2I+a+n/Wuc738unv0NAAD//wMAUEsDBBQA&#10;BgAIAAAAIQBLxxlW3gAAAAgBAAAPAAAAZHJzL2Rvd25yZXYueG1sTI/NTsMwEITvSLyDtUjcqGPK&#10;X0KcqqqAU1WJFglxc+NtEjVeR7GbpG/P9gTHnRnNfpMvJteKAfvQeNKgZgkIpNLbhioNX7v3uxcQ&#10;IRqypvWEGs4YYFFcX+Ums36kTxy2sRJcQiEzGuoYu0zKUNboTJj5Dom9g++diXz2lbS9GbnctfI+&#10;SZ6kMw3xh9p0uKqxPG5PTsPHaMblXL0N6+Nhdf7ZPW6+1wq1vr2Zlq8gIk7xLwwXfEaHgpn2/kQ2&#10;iFbD85yDLKcKBNupugh7DQ+pUiCLXP4fUPwCAAD//wMAUEsBAi0AFAAGAAgAAAAhALaDOJL+AAAA&#10;4QEAABMAAAAAAAAAAAAAAAAAAAAAAFtDb250ZW50X1R5cGVzXS54bWxQSwECLQAUAAYACAAAACEA&#10;OP0h/9YAAACUAQAACwAAAAAAAAAAAAAAAAAvAQAAX3JlbHMvLnJlbHNQSwECLQAUAAYACAAAACEA&#10;wEKc5twDAAB2DgAADgAAAAAAAAAAAAAAAAAuAgAAZHJzL2Uyb0RvYy54bWxQSwECLQAUAAYACAAA&#10;ACEAS8cZVt4AAAAIAQAADwAAAAAAAAAAAAAAAAA2BgAAZHJzL2Rvd25yZXYueG1sUEsFBgAAAAAE&#10;AAQA8wAAAEEHAAAAAA==&#10;">
                <v:shape id="Prostokąt: zaokrąglone rogi po przekątnej 2" o:spid="_x0000_s1027" style="position:absolute;width:57785;height:5016;visibility:visible;mso-wrap-style:square;v-text-anchor:middle" coordsize="5778500,501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s//xAAAANoAAAAPAAAAZHJzL2Rvd25yZXYueG1sRI9Ba8JA&#10;FITvBf/D8oReim7qIZXoJkhpQLzVevD4zD6TYPZtzK5m7a/vFgo9DjPzDbMugunEnQbXWlbwOk9A&#10;EFdWt1wrOHyVsyUI55E1dpZJwYMcFPnkaY2ZtiN/0n3vaxEh7DJU0HjfZ1K6qiGDbm574uid7WDQ&#10;RznUUg84Rrjp5CJJUmmw5bjQYE/vDVWX/c0ouJShrI4v5iPc0vr7mvq37bg7KfU8DZsVCE/B/4f/&#10;2lutYAG/V+INkPkPAAAA//8DAFBLAQItABQABgAIAAAAIQDb4fbL7gAAAIUBAAATAAAAAAAAAAAA&#10;AAAAAAAAAABbQ29udGVudF9UeXBlc10ueG1sUEsBAi0AFAAGAAgAAAAhAFr0LFu/AAAAFQEAAAsA&#10;AAAAAAAAAAAAAAAAHwEAAF9yZWxzLy5yZWxzUEsBAi0AFAAGAAgAAAAhAF5Kz//EAAAA2gAAAA8A&#10;AAAAAAAAAAAAAAAABwIAAGRycy9kb3ducmV2LnhtbFBLBQYAAAAAAwADALcAAAD4AgAAAAA=&#10;" adj="-11796480,,5400" path="m83610,l5778500,r,l5778500,418040v,46177,-37433,83610,-83610,83610l,501650r,l,83610c,37433,37433,,83610,xe" fillcolor="white [3201]" strokecolor="#2f5496 [2404]" strokeweight="1pt">
                  <v:stroke joinstyle="miter"/>
                  <v:formulas/>
                  <v:path arrowok="t" o:connecttype="custom" o:connectlocs="83610,0;5778500,0;5778500,0;5778500,418040;5694890,501650;0,501650;0,501650;0,83610;83610,0" o:connectangles="0,0,0,0,0,0,0,0,0" textboxrect="0,0,5778500,501650"/>
                  <v:textbox>
                    <w:txbxContent>
                      <w:p w14:paraId="1FB51B11" w14:textId="08D64D00" w:rsidR="00A23FA0" w:rsidRPr="00F45B10" w:rsidRDefault="00A23FA0" w:rsidP="00F45B10">
                        <w:pPr>
                          <w:pStyle w:val="Nagwek1"/>
                        </w:pPr>
                        <w:r w:rsidRPr="00F45B10">
                          <w:t>Składając wniosek o przyznanie Płatności dla małych gospodarstw</w:t>
                        </w:r>
                      </w:p>
                    </w:txbxContent>
                  </v:textbox>
                </v:shape>
                <v:shape id="Prostokąt: zaokrąglone rogi po przekątnej 3" o:spid="_x0000_s1028" style="position:absolute;top:6286;width:28130;height:23686;visibility:visible;mso-wrap-style:square;v-text-anchor:middle" coordsize="2813050,2368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bgBwQAAANoAAAAPAAAAZHJzL2Rvd25yZXYueG1sRI/disIw&#10;FITvF3yHcATv1lSFVatRrCAueOXPAxybY1ttTmqTan17s7Dg5TAz3zDzZWtK8aDaFZYVDPoRCOLU&#10;6oIzBafj5nsCwnlkjaVlUvAiB8tF52uOsbZP3tPj4DMRIOxiVJB7X8VSujQng65vK+LgXWxt0AdZ&#10;Z1LX+AxwU8phFP1IgwWHhRwrWueU3g6NUbC9TJvkqu8mQdmMz7tNstKvVqlet13NQHhq/Sf83/7V&#10;CkbwdyXcALl4AwAA//8DAFBLAQItABQABgAIAAAAIQDb4fbL7gAAAIUBAAATAAAAAAAAAAAAAAAA&#10;AAAAAABbQ29udGVudF9UeXBlc10ueG1sUEsBAi0AFAAGAAgAAAAhAFr0LFu/AAAAFQEAAAsAAAAA&#10;AAAAAAAAAAAAHwEAAF9yZWxzLy5yZWxzUEsBAi0AFAAGAAgAAAAhAO/5uAHBAAAA2gAAAA8AAAAA&#10;AAAAAAAAAAAABwIAAGRycy9kb3ducmV2LnhtbFBLBQYAAAAAAwADALcAAAD1AgAAAAA=&#10;" adj="-11796480,,5400" path="m394766,l2813050,r,l2813050,1973784v,218023,-176743,394766,-394766,394766l,2368550r,l,394766c,176743,176743,,394766,xe" fillcolor="window" strokecolor="#2f5597" strokeweight="1pt">
                  <v:stroke joinstyle="miter"/>
                  <v:formulas/>
                  <v:path arrowok="t" o:connecttype="custom" o:connectlocs="394766,0;2813050,0;2813050,0;2813050,1973784;2418284,2368550;0,2368550;0,2368550;0,394766;394766,0" o:connectangles="0,0,0,0,0,0,0,0,0" textboxrect="0,0,2813050,2368550"/>
                  <v:textbox>
                    <w:txbxContent>
                      <w:p w14:paraId="7463271D" w14:textId="0A2D2E8C" w:rsidR="00F45B10" w:rsidRPr="00F45B10" w:rsidRDefault="00B26A10" w:rsidP="00F45B1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  <w:u w:val="single"/>
                          </w:rPr>
                          <w:t>Ni</w:t>
                        </w:r>
                        <w:r w:rsidR="00A23FA0"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  <w:u w:val="single"/>
                          </w:rPr>
                          <w:t>e otrzymasz:</w:t>
                        </w:r>
                      </w:p>
                      <w:p w14:paraId="62854448" w14:textId="25278846" w:rsidR="00A23FA0" w:rsidRPr="00F45B1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- podstawowego wsparcia dochodów</w:t>
                        </w:r>
                      </w:p>
                      <w:p w14:paraId="529D6216" w14:textId="660C2466" w:rsidR="00A23FA0" w:rsidRPr="00F45B1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- płatności redystrybucyjnej</w:t>
                        </w:r>
                      </w:p>
                      <w:p w14:paraId="31FD7F24" w14:textId="41915030" w:rsidR="00A23FA0" w:rsidRPr="00F45B1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- płatności dla młodych rolników</w:t>
                        </w:r>
                      </w:p>
                      <w:p w14:paraId="784A1613" w14:textId="77777777" w:rsidR="00B26A1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- płatności związanych z produkcją</w:t>
                        </w:r>
                      </w:p>
                      <w:p w14:paraId="51D835F7" w14:textId="5605147D" w:rsidR="00A23FA0" w:rsidRPr="00F45B10" w:rsidRDefault="00B26A1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 xml:space="preserve">  </w:t>
                        </w:r>
                        <w:r w:rsidR="00A23FA0"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(do upraw i zwierząt)</w:t>
                        </w:r>
                      </w:p>
                      <w:p w14:paraId="731C58CA" w14:textId="15B25CA5" w:rsidR="00A23FA0" w:rsidRPr="00F45B1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 xml:space="preserve">- płatności w ramach </w:t>
                        </w:r>
                        <w:proofErr w:type="spellStart"/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ekoschematów</w:t>
                        </w:r>
                        <w:proofErr w:type="spellEnd"/>
                      </w:p>
                    </w:txbxContent>
                  </v:textbox>
                </v:shape>
                <v:shape id="Prostokąt: zaokrąglone rogi po przekątnej 4" o:spid="_x0000_s1029" style="position:absolute;left:29273;top:6159;width:28512;height:23813;visibility:visible;mso-wrap-style:square;v-text-anchor:middle" coordsize="2851150,2381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LDDwgAAANoAAAAPAAAAZHJzL2Rvd25yZXYueG1sRI9Pi8Iw&#10;FMTvwn6H8Bb2pql/kKUaRRZdxIuoi+dn82yLzUs3ibV+eyMIHoeZ+Q0znbemEg05X1pW0O8lIIgz&#10;q0vOFfwdVt1vED4ga6wsk4I7eZjPPjpTTLW98Y6afchFhLBPUUERQp1K6bOCDPqerYmjd7bOYIjS&#10;5VI7vEW4qeQgScbSYMlxocCafgrKLvurUcDD4Xr87xabbbO9L305+E1Oy6NSX5/tYgIiUBve4Vd7&#10;rRWM4Hkl3gA5ewAAAP//AwBQSwECLQAUAAYACAAAACEA2+H2y+4AAACFAQAAEwAAAAAAAAAAAAAA&#10;AAAAAAAAW0NvbnRlbnRfVHlwZXNdLnhtbFBLAQItABQABgAIAAAAIQBa9CxbvwAAABUBAAALAAAA&#10;AAAAAAAAAAAAAB8BAABfcmVscy8ucmVsc1BLAQItABQABgAIAAAAIQCpmLDDwgAAANoAAAAPAAAA&#10;AAAAAAAAAAAAAAcCAABkcnMvZG93bnJldi54bWxQSwUGAAAAAAMAAwC3AAAA9gIAAAAA&#10;" adj="-11796480,,5400" path="m396883,l2851150,r,l2851150,1984367v,219192,-177691,396883,-396883,396883l,2381250r,l,396883c,177691,177691,,396883,xe" fillcolor="window" strokecolor="#2f5597" strokeweight="1pt">
                  <v:stroke joinstyle="miter"/>
                  <v:formulas/>
                  <v:path arrowok="t" o:connecttype="custom" o:connectlocs="396883,0;2851150,0;2851150,0;2851150,1984367;2454267,2381250;0,2381250;0,2381250;0,396883;396883,0" o:connectangles="0,0,0,0,0,0,0,0,0" textboxrect="0,0,2851150,2381250"/>
                  <v:textbox>
                    <w:txbxContent>
                      <w:p w14:paraId="5E7B125A" w14:textId="21CC9B14" w:rsidR="00A23FA0" w:rsidRPr="00F45B10" w:rsidRDefault="00B26A10" w:rsidP="00F45B1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  <w:u w:val="single"/>
                          </w:rPr>
                          <w:t>O</w:t>
                        </w:r>
                        <w:r w:rsidR="00A23FA0"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  <w:u w:val="single"/>
                          </w:rPr>
                          <w:t>trzymasz:</w:t>
                        </w:r>
                      </w:p>
                      <w:p w14:paraId="56DFE837" w14:textId="22DEFF28" w:rsidR="00A23FA0" w:rsidRPr="00F45B1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- przejściowe wsparcie krajowe</w:t>
                        </w:r>
                      </w:p>
                      <w:p w14:paraId="5FEF5ED2" w14:textId="5C001DCC" w:rsidR="00A23FA0" w:rsidRPr="00F45B1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(uzupełniającą płatnoś</w:t>
                        </w:r>
                        <w:r w:rsidR="00B26A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 xml:space="preserve">ć </w:t>
                        </w: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podstawową i płatność niezwiązaną do tytoniu)</w:t>
                        </w:r>
                      </w:p>
                      <w:p w14:paraId="12C39C77" w14:textId="04B2E82E" w:rsidR="00A23FA0" w:rsidRPr="00F45B1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- płatności rolno-środowiskowo-klimatyczne</w:t>
                        </w:r>
                      </w:p>
                      <w:p w14:paraId="30946748" w14:textId="00704C64" w:rsidR="00A23FA0" w:rsidRPr="00F45B1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- płatności ONW</w:t>
                        </w:r>
                      </w:p>
                      <w:p w14:paraId="6F2F3A7E" w14:textId="29FF6D04" w:rsidR="00A23FA0" w:rsidRPr="00F45B1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- płatności ekologiczne</w:t>
                        </w:r>
                      </w:p>
                      <w:p w14:paraId="4705EA59" w14:textId="07D39D46" w:rsidR="00A23FA0" w:rsidRPr="00F45B1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</w:pPr>
                        <w:r w:rsidRPr="00F45B10"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t>- płatności zalesieniowe</w:t>
                        </w:r>
                      </w:p>
                      <w:p w14:paraId="0F088359" w14:textId="77777777" w:rsidR="00A23FA0" w:rsidRPr="00A23FA0" w:rsidRDefault="00A23FA0" w:rsidP="00A23FA0">
                        <w:pPr>
                          <w:spacing w:after="0"/>
                          <w:rPr>
                            <w:rFonts w:ascii="Times New Roman" w:hAnsi="Times New Roman" w:cs="Times New Roman"/>
                            <w:color w:val="1F3864" w:themeColor="accent1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86711F8" w14:textId="6C5F5AD7" w:rsidR="00A23FA0" w:rsidRPr="00A644F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</w:pPr>
    </w:p>
    <w:p w14:paraId="3A92B7B8" w14:textId="74AF9FA6" w:rsidR="00D01FA6" w:rsidRDefault="00D01FA6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108C956C" w14:textId="48560979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3543045F" w14:textId="7F065738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3F630067" w14:textId="7036A7A9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145B023D" w14:textId="7F8AF5D8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110656D5" w14:textId="3B3DEA7E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5159B7B1" w14:textId="79E8EBEC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77AFA8C7" w14:textId="28EAD7CD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5465908A" w14:textId="5766D965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1FAEDAAD" w14:textId="4D8F80D9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154EF394" w14:textId="461A0525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6F443501" w14:textId="571A7C06" w:rsidR="00A23FA0" w:rsidRPr="00124FF3" w:rsidRDefault="00A23FA0" w:rsidP="00A23FA0">
      <w:pPr>
        <w:shd w:val="clear" w:color="auto" w:fill="FFFFFF"/>
        <w:tabs>
          <w:tab w:val="left" w:pos="46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6F6227CC" w14:textId="77777777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7135E8B1" w14:textId="77777777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38235BDE" w14:textId="77777777" w:rsidR="00A23FA0" w:rsidRDefault="00A23FA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1C3B2EEA" w14:textId="77777777" w:rsidR="00F45B10" w:rsidRDefault="00F45B1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445CE669" w14:textId="77777777" w:rsidR="00F45B10" w:rsidRDefault="00F45B10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7149C99F" w14:textId="1F1310E4" w:rsidR="00D01FA6" w:rsidRPr="00A644F0" w:rsidRDefault="00124FF3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Żeby skorzystać z takiego rozwiązania</w:t>
      </w:r>
      <w:r w:rsidR="00A644F0" w:rsidRPr="00A644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i otrzymać ryczałt w wysokości 225 euro/ha</w:t>
      </w:r>
      <w:r w:rsidR="00A23FA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6C50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–</w:t>
      </w:r>
      <w:r w:rsidR="00F45B1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A23FA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nie więcej niż 1125 euro</w:t>
      </w:r>
      <w:r w:rsidR="00F45B1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na gospodarstwo</w:t>
      </w:r>
      <w:r w:rsidR="006C50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–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wystarczy złożyć do 31 sierpnia 2023 r. za poś</w:t>
      </w:r>
      <w:r w:rsidR="00A644F0" w:rsidRPr="00A644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rednictwem 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aplikacj</w:t>
      </w:r>
      <w:r w:rsidR="00A644F0" w:rsidRPr="00A644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i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proofErr w:type="spellStart"/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eWniosekPlus</w:t>
      </w:r>
      <w:proofErr w:type="spellEnd"/>
      <w:r w:rsidR="00A644F0" w:rsidRPr="00A644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skan </w:t>
      </w:r>
      <w:r w:rsidR="00D01FA6" w:rsidRPr="00A644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bądź zdjęcie 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oświadczenia „Żądanie przyznania płatności dla małych gospodarstw”. Jego wzór </w:t>
      </w:r>
      <w:r w:rsidR="00D01FA6" w:rsidRPr="00A644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oraz instrukcja </w:t>
      </w:r>
      <w:r w:rsidR="00A644F0" w:rsidRPr="00A644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postępowania 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znajduj</w:t>
      </w:r>
      <w:r w:rsidR="00D01FA6" w:rsidRPr="00A644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ą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się na stronie internetowej A</w:t>
      </w:r>
      <w:r w:rsidR="00D01FA6" w:rsidRPr="00A644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RiMR</w:t>
      </w:r>
      <w:r w:rsidRPr="00124FF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  <w:r w:rsidR="00A644F0" w:rsidRPr="00A644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</w:p>
    <w:p w14:paraId="4F6F6D8D" w14:textId="77777777" w:rsidR="00D01FA6" w:rsidRPr="00A644F0" w:rsidRDefault="00D01FA6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1962B603" w14:textId="6995A482" w:rsidR="00124FF3" w:rsidRPr="00124FF3" w:rsidRDefault="00D01FA6" w:rsidP="00A64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644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Wszyscy rolnicy, którzy </w:t>
      </w:r>
      <w:r w:rsidR="00124FF3"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dostarczyli do tej pory te dokumenty w innej formie (e-mailem, w wersji papierowej do placówki ARiMR), </w:t>
      </w:r>
      <w:r w:rsidR="00A644F0" w:rsidRPr="00A644F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są proszeni o ich złożenie </w:t>
      </w:r>
      <w:r w:rsidR="00124FF3"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przez</w:t>
      </w:r>
      <w:r w:rsidR="00A644F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 </w:t>
      </w:r>
      <w:r w:rsidR="00124FF3"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aplikację </w:t>
      </w:r>
      <w:proofErr w:type="spellStart"/>
      <w:r w:rsidR="00000000">
        <w:fldChar w:fldCharType="begin"/>
      </w:r>
      <w:r w:rsidR="00000000">
        <w:instrText>HYPERLINK "https://www.gov.pl/web/arimr/ewniosekplus-system" \t "_blank"</w:instrText>
      </w:r>
      <w:r w:rsidR="00000000">
        <w:fldChar w:fldCharType="separate"/>
      </w:r>
      <w:r w:rsidR="00124FF3" w:rsidRPr="00124FF3">
        <w:rPr>
          <w:rFonts w:ascii="Times New Roman" w:eastAsia="Times New Roman" w:hAnsi="Times New Roman" w:cs="Times New Roman"/>
          <w:color w:val="0052A5"/>
          <w:sz w:val="24"/>
          <w:szCs w:val="24"/>
          <w:u w:val="single"/>
          <w:shd w:val="clear" w:color="auto" w:fill="FFFFFF"/>
          <w:lang w:eastAsia="pl-PL"/>
        </w:rPr>
        <w:t>eWniosekPlus</w:t>
      </w:r>
      <w:proofErr w:type="spellEnd"/>
      <w:r w:rsidR="00000000">
        <w:rPr>
          <w:rFonts w:ascii="Times New Roman" w:eastAsia="Times New Roman" w:hAnsi="Times New Roman" w:cs="Times New Roman"/>
          <w:color w:val="0052A5"/>
          <w:sz w:val="24"/>
          <w:szCs w:val="24"/>
          <w:u w:val="single"/>
          <w:shd w:val="clear" w:color="auto" w:fill="FFFFFF"/>
          <w:lang w:eastAsia="pl-PL"/>
        </w:rPr>
        <w:fldChar w:fldCharType="end"/>
      </w:r>
      <w:r w:rsidR="00124FF3" w:rsidRPr="00124FF3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 przed zakończeniem naboru.</w:t>
      </w:r>
    </w:p>
    <w:sectPr w:rsidR="00124FF3" w:rsidRPr="00124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587FC" w14:textId="77777777" w:rsidR="006972D3" w:rsidRDefault="006972D3" w:rsidP="00124FF3">
      <w:pPr>
        <w:spacing w:after="0" w:line="240" w:lineRule="auto"/>
      </w:pPr>
      <w:r>
        <w:separator/>
      </w:r>
    </w:p>
  </w:endnote>
  <w:endnote w:type="continuationSeparator" w:id="0">
    <w:p w14:paraId="577B1766" w14:textId="77777777" w:rsidR="006972D3" w:rsidRDefault="006972D3" w:rsidP="0012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F74D" w14:textId="77777777" w:rsidR="006972D3" w:rsidRDefault="006972D3" w:rsidP="00124FF3">
      <w:pPr>
        <w:spacing w:after="0" w:line="240" w:lineRule="auto"/>
      </w:pPr>
      <w:r>
        <w:separator/>
      </w:r>
    </w:p>
  </w:footnote>
  <w:footnote w:type="continuationSeparator" w:id="0">
    <w:p w14:paraId="18A7EEBB" w14:textId="77777777" w:rsidR="006972D3" w:rsidRDefault="006972D3" w:rsidP="00124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812E1"/>
    <w:multiLevelType w:val="hybridMultilevel"/>
    <w:tmpl w:val="F0F23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9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FA"/>
    <w:rsid w:val="000613A1"/>
    <w:rsid w:val="00124FF3"/>
    <w:rsid w:val="002B59A1"/>
    <w:rsid w:val="00495394"/>
    <w:rsid w:val="00673D97"/>
    <w:rsid w:val="006847DD"/>
    <w:rsid w:val="006972D3"/>
    <w:rsid w:val="006C50D3"/>
    <w:rsid w:val="008458FA"/>
    <w:rsid w:val="00A23FA0"/>
    <w:rsid w:val="00A644F0"/>
    <w:rsid w:val="00A871DC"/>
    <w:rsid w:val="00B26A10"/>
    <w:rsid w:val="00B31F17"/>
    <w:rsid w:val="00D01FA6"/>
    <w:rsid w:val="00F4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E56D"/>
  <w15:chartTrackingRefBased/>
  <w15:docId w15:val="{7E832739-16EC-4D42-B16C-8716353A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5B10"/>
    <w:pPr>
      <w:keepNext/>
      <w:spacing w:after="0"/>
      <w:ind w:left="-284" w:right="-311"/>
      <w:jc w:val="center"/>
      <w:outlineLvl w:val="0"/>
    </w:pPr>
    <w:rPr>
      <w:rFonts w:ascii="Times New Roman" w:hAnsi="Times New Roman" w:cs="Times New Roman"/>
      <w:b/>
      <w:bCs/>
      <w:color w:val="1F3864" w:themeColor="accent1" w:themeShade="80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124F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24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24F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24FF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12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4FF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24FF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6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4F0"/>
  </w:style>
  <w:style w:type="paragraph" w:styleId="Stopka">
    <w:name w:val="footer"/>
    <w:basedOn w:val="Normalny"/>
    <w:link w:val="StopkaZnak"/>
    <w:uiPriority w:val="99"/>
    <w:unhideWhenUsed/>
    <w:rsid w:val="00A6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4F0"/>
  </w:style>
  <w:style w:type="paragraph" w:styleId="Akapitzlist">
    <w:name w:val="List Paragraph"/>
    <w:basedOn w:val="Normalny"/>
    <w:uiPriority w:val="34"/>
    <w:qFormat/>
    <w:rsid w:val="00A23FA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5B10"/>
    <w:rPr>
      <w:rFonts w:ascii="Times New Roman" w:hAnsi="Times New Roman" w:cs="Times New Roman"/>
      <w:b/>
      <w:bCs/>
      <w:color w:val="1F3864" w:themeColor="accent1" w:themeShade="8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EA70-7FAA-4C0D-960E-BCE9E558B53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44CA026-585E-4DCD-B0D0-673AD7E0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Borkowski Michał</dc:creator>
  <cp:keywords/>
  <dc:description/>
  <cp:lastModifiedBy>rn</cp:lastModifiedBy>
  <cp:revision>2</cp:revision>
  <dcterms:created xsi:type="dcterms:W3CDTF">2023-08-16T12:47:00Z</dcterms:created>
  <dcterms:modified xsi:type="dcterms:W3CDTF">2023-08-16T12:47:00Z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3727a919-5035-4ed4-9f76-5579a3455855</vt:lpwstr>
  </property>
  <property fmtid="{D5CDD505-2E9C-101B-9397-08002B2CF9AE}" pid="3" name="bjSaver">
    <vt:lpwstr>LQDg4XcIGPPPNTw+3gCJZmwrnMi+0RCc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